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F3FC9A1"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D561A8">
        <w:rPr>
          <w:rFonts w:ascii="Arial" w:hAnsi="Arial" w:cs="Arial"/>
          <w:b/>
          <w:bCs/>
          <w:sz w:val="22"/>
          <w:szCs w:val="22"/>
        </w:rPr>
        <w:t xml:space="preserve">Administrativo nº </w:t>
      </w:r>
      <w:r w:rsidR="00D561A8" w:rsidRPr="00D561A8">
        <w:rPr>
          <w:rFonts w:ascii="Arial" w:hAnsi="Arial" w:cs="Arial"/>
          <w:b/>
          <w:bCs/>
          <w:sz w:val="22"/>
          <w:szCs w:val="22"/>
        </w:rPr>
        <w:t>26.569/2023</w:t>
      </w:r>
      <w:r w:rsidR="0071720D" w:rsidRPr="00D561A8">
        <w:rPr>
          <w:rFonts w:ascii="Arial" w:hAnsi="Arial" w:cs="Arial"/>
          <w:b/>
          <w:bCs/>
          <w:sz w:val="22"/>
          <w:szCs w:val="22"/>
        </w:rPr>
        <w:t>,</w:t>
      </w:r>
      <w:r w:rsidR="005466C3" w:rsidRPr="00D561A8">
        <w:rPr>
          <w:rFonts w:ascii="Arial" w:hAnsi="Arial" w:cs="Arial"/>
          <w:b/>
          <w:bCs/>
          <w:sz w:val="22"/>
          <w:szCs w:val="22"/>
        </w:rPr>
        <w:t xml:space="preserve"> </w:t>
      </w:r>
      <w:r w:rsidRPr="00D561A8">
        <w:rPr>
          <w:rFonts w:ascii="Arial" w:hAnsi="Arial" w:cs="Arial"/>
          <w:sz w:val="22"/>
          <w:szCs w:val="22"/>
        </w:rPr>
        <w:t xml:space="preserve">e em observância às disposições da Lei nº </w:t>
      </w:r>
      <w:r w:rsidR="00F232EF" w:rsidRPr="00D561A8">
        <w:rPr>
          <w:rFonts w:ascii="Arial" w:hAnsi="Arial" w:cs="Arial"/>
          <w:sz w:val="22"/>
          <w:szCs w:val="22"/>
        </w:rPr>
        <w:t xml:space="preserve">14.133, </w:t>
      </w:r>
      <w:r w:rsidR="009872FB" w:rsidRPr="00D561A8">
        <w:rPr>
          <w:rFonts w:ascii="Arial" w:hAnsi="Arial" w:cs="Arial"/>
          <w:sz w:val="22"/>
          <w:szCs w:val="22"/>
        </w:rPr>
        <w:t xml:space="preserve">de 1º de abril </w:t>
      </w:r>
      <w:r w:rsidR="00F232EF" w:rsidRPr="00D561A8">
        <w:rPr>
          <w:rFonts w:ascii="Arial" w:hAnsi="Arial" w:cs="Arial"/>
          <w:sz w:val="22"/>
          <w:szCs w:val="22"/>
        </w:rPr>
        <w:t>de 2021</w:t>
      </w:r>
      <w:r w:rsidR="0050761F" w:rsidRPr="00D561A8">
        <w:rPr>
          <w:rFonts w:ascii="Arial" w:hAnsi="Arial" w:cs="Arial"/>
          <w:sz w:val="22"/>
          <w:szCs w:val="22"/>
        </w:rPr>
        <w:t xml:space="preserve"> </w:t>
      </w:r>
      <w:r w:rsidR="0050761F" w:rsidRPr="00D561A8">
        <w:rPr>
          <w:rFonts w:ascii="Arial" w:hAnsi="Arial" w:cs="Arial"/>
          <w:sz w:val="22"/>
          <w:szCs w:val="22"/>
          <w:lang w:val="pt-PT"/>
        </w:rPr>
        <w:t xml:space="preserve">e </w:t>
      </w:r>
      <w:r w:rsidR="009872FB" w:rsidRPr="00D561A8">
        <w:rPr>
          <w:rFonts w:ascii="Arial" w:hAnsi="Arial" w:cs="Arial"/>
          <w:sz w:val="22"/>
          <w:szCs w:val="22"/>
          <w:lang w:val="pt-PT"/>
        </w:rPr>
        <w:t>demais legislações aplicáveis</w:t>
      </w:r>
      <w:r w:rsidR="006306EF" w:rsidRPr="00D561A8">
        <w:rPr>
          <w:rFonts w:ascii="Arial" w:hAnsi="Arial" w:cs="Arial"/>
          <w:sz w:val="22"/>
          <w:szCs w:val="22"/>
        </w:rPr>
        <w:t>,</w:t>
      </w:r>
      <w:r w:rsidRPr="00D561A8">
        <w:rPr>
          <w:rFonts w:ascii="Arial" w:hAnsi="Arial" w:cs="Arial"/>
          <w:i/>
          <w:sz w:val="22"/>
          <w:szCs w:val="22"/>
        </w:rPr>
        <w:t xml:space="preserve"> </w:t>
      </w:r>
      <w:r w:rsidRPr="00D561A8">
        <w:rPr>
          <w:rFonts w:ascii="Arial" w:hAnsi="Arial" w:cs="Arial"/>
          <w:sz w:val="22"/>
          <w:szCs w:val="22"/>
        </w:rPr>
        <w:t xml:space="preserve">resolvem celebrar o presente Termo de Contrato, decorrente do </w:t>
      </w:r>
      <w:r w:rsidR="005466C3" w:rsidRPr="00D561A8">
        <w:rPr>
          <w:rFonts w:ascii="Arial" w:hAnsi="Arial" w:cs="Arial"/>
          <w:b/>
          <w:bCs/>
          <w:sz w:val="22"/>
          <w:szCs w:val="22"/>
        </w:rPr>
        <w:t>Pregão Eletrônico</w:t>
      </w:r>
      <w:r w:rsidR="000B23ED" w:rsidRPr="00D561A8">
        <w:rPr>
          <w:rFonts w:ascii="Arial" w:hAnsi="Arial" w:cs="Arial"/>
          <w:b/>
          <w:bCs/>
          <w:sz w:val="22"/>
          <w:szCs w:val="22"/>
        </w:rPr>
        <w:t xml:space="preserve"> </w:t>
      </w:r>
      <w:r w:rsidR="005466C3" w:rsidRPr="00D561A8">
        <w:rPr>
          <w:rFonts w:ascii="Arial" w:hAnsi="Arial" w:cs="Arial"/>
          <w:b/>
          <w:bCs/>
          <w:sz w:val="22"/>
          <w:szCs w:val="22"/>
        </w:rPr>
        <w:t xml:space="preserve">nº </w:t>
      </w:r>
      <w:r w:rsidR="00D561A8" w:rsidRPr="00D561A8">
        <w:rPr>
          <w:rFonts w:ascii="Arial" w:hAnsi="Arial" w:cs="Arial"/>
          <w:b/>
          <w:bCs/>
          <w:sz w:val="22"/>
          <w:szCs w:val="22"/>
        </w:rPr>
        <w:t>90.160/2024</w:t>
      </w:r>
      <w:r w:rsidRPr="00D561A8">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4ECD38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D561A8" w:rsidRPr="00D561A8">
        <w:rPr>
          <w:rFonts w:ascii="Arial" w:eastAsia="Times New Roman" w:hAnsi="Arial" w:cs="Arial"/>
          <w:b/>
          <w:bCs/>
          <w:lang w:val="pt-BR" w:eastAsia="pt-BR"/>
        </w:rPr>
        <w:t xml:space="preserve">AQUISIÇÃO de equipamentos para atender as necessidades da Secretaria </w:t>
      </w:r>
      <w:r w:rsidR="00D927D6">
        <w:rPr>
          <w:rFonts w:ascii="Arial" w:eastAsia="Times New Roman" w:hAnsi="Arial" w:cs="Arial"/>
          <w:b/>
          <w:bCs/>
          <w:lang w:val="pt-BR" w:eastAsia="pt-BR"/>
        </w:rPr>
        <w:t>Municipal de Fazenda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4EED8860" w:rsidR="007B0D84" w:rsidRPr="00A545EB" w:rsidRDefault="00A545EB" w:rsidP="00A545EB">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A545EB">
        <w:rPr>
          <w:rFonts w:ascii="Arial" w:hAnsi="Arial" w:cs="Arial"/>
          <w:bCs/>
          <w:iCs/>
          <w:u w:val="single"/>
        </w:rPr>
        <w:t>MODELO DE EXECUÇÃO DO OBJETO:</w:t>
      </w:r>
    </w:p>
    <w:p w14:paraId="6A9F879C" w14:textId="229354DE" w:rsidR="00A545EB" w:rsidRPr="00A545EB" w:rsidRDefault="00A545EB" w:rsidP="00A545EB">
      <w:pPr>
        <w:pStyle w:val="PargrafodaLista"/>
        <w:widowControl/>
        <w:numPr>
          <w:ilvl w:val="2"/>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 fornecimento será efetuado no endereço abaixo, com prazo de entrega não superior a 30 (trinta) dias, contados do recebimento da requisição e Nota de Empenho.</w:t>
      </w:r>
    </w:p>
    <w:p w14:paraId="25C04A4E" w14:textId="77777777" w:rsidR="00A545EB" w:rsidRDefault="00A545EB" w:rsidP="00A545EB">
      <w:pPr>
        <w:pStyle w:val="PargrafodaLista"/>
        <w:widowControl/>
        <w:numPr>
          <w:ilvl w:val="2"/>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Os fornecimentos dos equipamentos  deverão ser realizados no seguinte endereço:</w:t>
      </w:r>
    </w:p>
    <w:p w14:paraId="05225613" w14:textId="5E595FE2" w:rsidR="00A545EB" w:rsidRPr="00A545EB" w:rsidRDefault="00A545EB" w:rsidP="00A545EB">
      <w:pPr>
        <w:pStyle w:val="PargrafodaLista"/>
        <w:widowControl/>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contextualSpacing/>
        <w:jc w:val="both"/>
        <w:rPr>
          <w:rFonts w:ascii="Arial" w:hAnsi="Arial" w:cs="Arial"/>
          <w:bCs/>
          <w:iCs/>
        </w:rPr>
      </w:pPr>
      <w:r w:rsidRPr="00A545EB">
        <w:rPr>
          <w:rFonts w:ascii="Arial" w:hAnsi="Arial" w:cs="Arial"/>
          <w:bCs/>
          <w:iCs/>
        </w:rPr>
        <w:t xml:space="preserve"> </w:t>
      </w:r>
    </w:p>
    <w:tbl>
      <w:tblPr>
        <w:tblStyle w:val="Tabelacomgrade"/>
        <w:tblW w:w="9222" w:type="dxa"/>
        <w:tblLook w:val="04A0" w:firstRow="1" w:lastRow="0" w:firstColumn="1" w:lastColumn="0" w:noHBand="0" w:noVBand="1"/>
      </w:tblPr>
      <w:tblGrid>
        <w:gridCol w:w="2692"/>
        <w:gridCol w:w="206"/>
        <w:gridCol w:w="6324"/>
      </w:tblGrid>
      <w:tr w:rsidR="00A545EB" w:rsidRPr="00A545EB" w14:paraId="7E012BF7" w14:textId="77777777" w:rsidTr="00A545EB">
        <w:tc>
          <w:tcPr>
            <w:tcW w:w="2898" w:type="dxa"/>
            <w:gridSpan w:val="2"/>
            <w:tcBorders>
              <w:left w:val="nil"/>
              <w:right w:val="nil"/>
            </w:tcBorders>
            <w:vAlign w:val="center"/>
          </w:tcPr>
          <w:p w14:paraId="114CC7AF" w14:textId="77777777" w:rsidR="00A545EB" w:rsidRPr="00A545EB" w:rsidRDefault="00A545EB" w:rsidP="00A545EB">
            <w:pPr>
              <w:pStyle w:val="PargrafodaLista"/>
              <w:overflowPunct w:val="0"/>
              <w:ind w:left="0"/>
              <w:jc w:val="both"/>
              <w:rPr>
                <w:rFonts w:ascii="Arial" w:hAnsi="Arial" w:cs="Arial"/>
                <w:bCs/>
                <w:iCs/>
              </w:rPr>
            </w:pPr>
            <w:r w:rsidRPr="00A545EB">
              <w:rPr>
                <w:rFonts w:ascii="Arial" w:hAnsi="Arial" w:cs="Arial"/>
                <w:bCs/>
                <w:iCs/>
              </w:rPr>
              <w:t>Secretaria requisitante:</w:t>
            </w:r>
          </w:p>
        </w:tc>
        <w:tc>
          <w:tcPr>
            <w:tcW w:w="6324" w:type="dxa"/>
            <w:tcBorders>
              <w:left w:val="nil"/>
              <w:right w:val="nil"/>
            </w:tcBorders>
            <w:vAlign w:val="center"/>
          </w:tcPr>
          <w:p w14:paraId="49954191" w14:textId="77777777" w:rsidR="00A545EB" w:rsidRPr="00A545EB" w:rsidRDefault="00A545EB" w:rsidP="00A545EB">
            <w:pPr>
              <w:pStyle w:val="PargrafodaLista"/>
              <w:overflowPunct w:val="0"/>
              <w:ind w:left="0"/>
              <w:jc w:val="both"/>
              <w:rPr>
                <w:rFonts w:ascii="Arial" w:hAnsi="Arial" w:cs="Arial"/>
                <w:bCs/>
                <w:iCs/>
              </w:rPr>
            </w:pPr>
            <w:r w:rsidRPr="00A545EB">
              <w:rPr>
                <w:rFonts w:ascii="Arial" w:hAnsi="Arial" w:cs="Arial"/>
                <w:bCs/>
                <w:iCs/>
              </w:rPr>
              <w:t>FUNDO ESPECIAL DA ADM.FAZENDÁRIA (FEAFTAM)</w:t>
            </w:r>
          </w:p>
        </w:tc>
      </w:tr>
      <w:tr w:rsidR="00A545EB" w:rsidRPr="00A545EB" w14:paraId="623B9628" w14:textId="77777777" w:rsidTr="00A545EB">
        <w:tc>
          <w:tcPr>
            <w:tcW w:w="2692" w:type="dxa"/>
            <w:tcBorders>
              <w:left w:val="nil"/>
              <w:right w:val="nil"/>
            </w:tcBorders>
            <w:vAlign w:val="center"/>
          </w:tcPr>
          <w:p w14:paraId="0E00B033" w14:textId="77777777" w:rsidR="00A545EB" w:rsidRPr="00A545EB" w:rsidRDefault="00A545EB" w:rsidP="00A545EB">
            <w:pPr>
              <w:pStyle w:val="PargrafodaLista"/>
              <w:overflowPunct w:val="0"/>
              <w:ind w:left="0"/>
              <w:jc w:val="both"/>
              <w:rPr>
                <w:rFonts w:ascii="Arial" w:hAnsi="Arial" w:cs="Arial"/>
                <w:bCs/>
                <w:iCs/>
              </w:rPr>
            </w:pPr>
            <w:r w:rsidRPr="00A545EB">
              <w:rPr>
                <w:rFonts w:ascii="Arial" w:hAnsi="Arial" w:cs="Arial"/>
                <w:bCs/>
                <w:iCs/>
              </w:rPr>
              <w:t>Endereço:</w:t>
            </w:r>
          </w:p>
        </w:tc>
        <w:tc>
          <w:tcPr>
            <w:tcW w:w="6530" w:type="dxa"/>
            <w:gridSpan w:val="2"/>
            <w:tcBorders>
              <w:left w:val="nil"/>
              <w:right w:val="nil"/>
            </w:tcBorders>
            <w:vAlign w:val="center"/>
          </w:tcPr>
          <w:p w14:paraId="4B74459B" w14:textId="77777777" w:rsidR="00A545EB" w:rsidRPr="00A545EB" w:rsidRDefault="00A545EB" w:rsidP="00A545EB">
            <w:pPr>
              <w:pStyle w:val="NormalWeb"/>
              <w:spacing w:beforeAutospacing="0" w:afterAutospacing="0"/>
              <w:ind w:leftChars="83" w:left="183"/>
              <w:rPr>
                <w:rFonts w:ascii="Arial" w:eastAsia="Verdana" w:hAnsi="Arial" w:cs="Arial"/>
                <w:bCs/>
                <w:iCs/>
                <w:sz w:val="22"/>
                <w:szCs w:val="22"/>
                <w:lang w:val="pt-PT" w:eastAsia="en-US"/>
              </w:rPr>
            </w:pPr>
            <w:r w:rsidRPr="00A545EB">
              <w:rPr>
                <w:rFonts w:ascii="Arial" w:eastAsia="Verdana" w:hAnsi="Arial" w:cs="Arial"/>
                <w:bCs/>
                <w:iCs/>
                <w:sz w:val="22"/>
                <w:szCs w:val="22"/>
                <w:lang w:val="pt-PT" w:eastAsia="en-US"/>
              </w:rPr>
              <w:t xml:space="preserve">PREFEITURA MUNICIPAL DE NOVA FRIBURGO  </w:t>
            </w:r>
          </w:p>
          <w:p w14:paraId="469F242C" w14:textId="77777777" w:rsidR="00A545EB" w:rsidRPr="00A545EB" w:rsidRDefault="00A545EB" w:rsidP="00A545EB">
            <w:pPr>
              <w:pStyle w:val="NormalWeb"/>
              <w:spacing w:beforeAutospacing="0" w:afterAutospacing="0"/>
              <w:ind w:leftChars="83" w:left="183"/>
              <w:rPr>
                <w:rFonts w:ascii="Arial" w:eastAsia="Verdana" w:hAnsi="Arial" w:cs="Arial"/>
                <w:bCs/>
                <w:iCs/>
                <w:sz w:val="22"/>
                <w:szCs w:val="22"/>
                <w:lang w:val="pt-PT" w:eastAsia="en-US"/>
              </w:rPr>
            </w:pPr>
            <w:r w:rsidRPr="00A545EB">
              <w:rPr>
                <w:rFonts w:ascii="Arial" w:eastAsia="Verdana" w:hAnsi="Arial" w:cs="Arial"/>
                <w:bCs/>
                <w:iCs/>
                <w:sz w:val="22"/>
                <w:szCs w:val="22"/>
                <w:lang w:val="pt-PT" w:eastAsia="en-US"/>
              </w:rPr>
              <w:t xml:space="preserve">Endereço: Avenida Alberto Braune,  225 , Centro - Nova Friburgo/RJ - 28.613.001 </w:t>
            </w:r>
          </w:p>
        </w:tc>
      </w:tr>
      <w:tr w:rsidR="00A545EB" w:rsidRPr="00A545EB" w14:paraId="41C8FCED" w14:textId="77777777" w:rsidTr="00A545EB">
        <w:tc>
          <w:tcPr>
            <w:tcW w:w="2898" w:type="dxa"/>
            <w:gridSpan w:val="2"/>
            <w:tcBorders>
              <w:left w:val="nil"/>
              <w:right w:val="nil"/>
            </w:tcBorders>
            <w:vAlign w:val="center"/>
          </w:tcPr>
          <w:p w14:paraId="22FC6522" w14:textId="77777777" w:rsidR="00A545EB" w:rsidRPr="00A545EB" w:rsidRDefault="00A545EB" w:rsidP="00A545EB">
            <w:pPr>
              <w:pStyle w:val="PargrafodaLista"/>
              <w:overflowPunct w:val="0"/>
              <w:ind w:left="0"/>
              <w:jc w:val="both"/>
              <w:rPr>
                <w:rFonts w:ascii="Arial" w:hAnsi="Arial" w:cs="Arial"/>
                <w:bCs/>
                <w:iCs/>
              </w:rPr>
            </w:pPr>
            <w:r w:rsidRPr="00A545EB">
              <w:rPr>
                <w:rFonts w:ascii="Arial" w:hAnsi="Arial" w:cs="Arial"/>
                <w:bCs/>
                <w:iCs/>
              </w:rPr>
              <w:t>Horário de entrega:</w:t>
            </w:r>
          </w:p>
        </w:tc>
        <w:tc>
          <w:tcPr>
            <w:tcW w:w="6324" w:type="dxa"/>
            <w:tcBorders>
              <w:left w:val="nil"/>
              <w:right w:val="nil"/>
            </w:tcBorders>
            <w:vAlign w:val="center"/>
          </w:tcPr>
          <w:p w14:paraId="47C092B5" w14:textId="77777777" w:rsidR="00A545EB" w:rsidRPr="00A545EB" w:rsidRDefault="00A545EB" w:rsidP="00A545EB">
            <w:pPr>
              <w:pStyle w:val="PargrafodaLista"/>
              <w:overflowPunct w:val="0"/>
              <w:ind w:left="0"/>
              <w:jc w:val="both"/>
              <w:rPr>
                <w:rFonts w:ascii="Arial" w:hAnsi="Arial" w:cs="Arial"/>
                <w:bCs/>
                <w:iCs/>
              </w:rPr>
            </w:pPr>
            <w:r w:rsidRPr="00A545EB">
              <w:rPr>
                <w:rFonts w:ascii="Arial" w:hAnsi="Arial" w:cs="Arial"/>
                <w:bCs/>
                <w:iCs/>
              </w:rPr>
              <w:t>Segunda a sexta-feira, das 09h às 16h.</w:t>
            </w:r>
          </w:p>
        </w:tc>
      </w:tr>
    </w:tbl>
    <w:p w14:paraId="569BDB66" w14:textId="77777777" w:rsidR="00A545EB" w:rsidRPr="00A545EB" w:rsidRDefault="00A545EB" w:rsidP="00A545EB">
      <w:pPr>
        <w:pStyle w:val="PargrafodaLista"/>
        <w:pBdr>
          <w:top w:val="none" w:sz="0" w:space="0" w:color="00000A"/>
          <w:left w:val="none" w:sz="0" w:space="0" w:color="00000A"/>
          <w:bottom w:val="none" w:sz="0" w:space="0" w:color="00000A"/>
          <w:right w:val="none" w:sz="0" w:space="0" w:color="00000A"/>
        </w:pBdr>
        <w:tabs>
          <w:tab w:val="left" w:pos="567"/>
        </w:tabs>
        <w:spacing w:line="360" w:lineRule="auto"/>
        <w:ind w:left="0"/>
        <w:jc w:val="both"/>
        <w:rPr>
          <w:rFonts w:ascii="Arial" w:hAnsi="Arial" w:cs="Arial"/>
          <w:bCs/>
          <w:iCs/>
        </w:rPr>
      </w:pPr>
    </w:p>
    <w:p w14:paraId="343CC6F3" w14:textId="20728955" w:rsidR="00A545EB" w:rsidRPr="00A545EB" w:rsidRDefault="00A545EB" w:rsidP="00A545EB">
      <w:pPr>
        <w:pStyle w:val="PargrafodaLista"/>
        <w:widowControl/>
        <w:numPr>
          <w:ilvl w:val="2"/>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FORMA DE EXECUÇÃO</w:t>
      </w:r>
    </w:p>
    <w:p w14:paraId="1AA92B86" w14:textId="77777777" w:rsidR="00A545EB" w:rsidRPr="00A545EB" w:rsidRDefault="00A545EB" w:rsidP="00A545EB">
      <w:pPr>
        <w:pStyle w:val="PargrafodaLista"/>
        <w:widowControl/>
        <w:numPr>
          <w:ilvl w:val="0"/>
          <w:numId w:val="11"/>
        </w:numPr>
        <w:pBdr>
          <w:top w:val="none" w:sz="0" w:space="0" w:color="00000A"/>
          <w:left w:val="none" w:sz="0" w:space="0" w:color="00000A"/>
          <w:bottom w:val="none" w:sz="0" w:space="0" w:color="00000A"/>
          <w:right w:val="none" w:sz="0" w:space="0" w:color="00000A"/>
        </w:pBdr>
        <w:tabs>
          <w:tab w:val="clear" w:pos="425"/>
          <w:tab w:val="left" w:pos="567"/>
        </w:tabs>
        <w:suppressAutoHyphens/>
        <w:autoSpaceDE/>
        <w:autoSpaceDN/>
        <w:spacing w:before="0" w:line="360" w:lineRule="auto"/>
        <w:ind w:left="0" w:firstLine="0"/>
        <w:contextualSpacing/>
        <w:jc w:val="both"/>
        <w:rPr>
          <w:rFonts w:ascii="Arial" w:hAnsi="Arial" w:cs="Arial"/>
          <w:bCs/>
          <w:iCs/>
        </w:rPr>
      </w:pPr>
      <w:r w:rsidRPr="00A545EB">
        <w:rPr>
          <w:rFonts w:ascii="Arial" w:hAnsi="Arial" w:cs="Arial"/>
          <w:bCs/>
          <w:iCs/>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66F785F3" w14:textId="77777777" w:rsidR="00A545EB" w:rsidRPr="00A545EB" w:rsidRDefault="00A545EB" w:rsidP="00A545EB">
      <w:pPr>
        <w:pStyle w:val="PargrafodaLista"/>
        <w:widowControl/>
        <w:numPr>
          <w:ilvl w:val="0"/>
          <w:numId w:val="11"/>
        </w:numPr>
        <w:pBdr>
          <w:top w:val="none" w:sz="0" w:space="0" w:color="00000A"/>
          <w:left w:val="none" w:sz="0" w:space="0" w:color="00000A"/>
          <w:bottom w:val="none" w:sz="0" w:space="0" w:color="00000A"/>
          <w:right w:val="none" w:sz="0" w:space="0" w:color="00000A"/>
        </w:pBdr>
        <w:tabs>
          <w:tab w:val="clear" w:pos="425"/>
          <w:tab w:val="left" w:pos="567"/>
        </w:tabs>
        <w:suppressAutoHyphens/>
        <w:autoSpaceDE/>
        <w:autoSpaceDN/>
        <w:spacing w:before="0" w:line="360" w:lineRule="auto"/>
        <w:ind w:left="0" w:firstLine="0"/>
        <w:contextualSpacing/>
        <w:jc w:val="both"/>
        <w:rPr>
          <w:rFonts w:ascii="Arial" w:hAnsi="Arial" w:cs="Arial"/>
          <w:bCs/>
          <w:iCs/>
        </w:rPr>
      </w:pPr>
      <w:r w:rsidRPr="00A545EB">
        <w:rPr>
          <w:rFonts w:ascii="Arial" w:hAnsi="Arial" w:cs="Arial"/>
          <w:bCs/>
          <w:iCs/>
        </w:rPr>
        <w:t>Os objetos Os objetos que necessitarem de instalações, tais como, mesa digitalizadora, Fragmentadora, o preparo do local e a instalação será feita de acordo com o projeto para modernização dos setores da administração fazendária e tributária municipal, conforme processo administrativo nº 26570/2023;</w:t>
      </w:r>
    </w:p>
    <w:p w14:paraId="40DAA60D" w14:textId="77777777" w:rsidR="00A545EB" w:rsidRPr="00A545EB" w:rsidRDefault="00A545EB" w:rsidP="00A545EB">
      <w:pPr>
        <w:pStyle w:val="PargrafodaLista"/>
        <w:widowControl/>
        <w:numPr>
          <w:ilvl w:val="0"/>
          <w:numId w:val="11"/>
        </w:numPr>
        <w:pBdr>
          <w:top w:val="none" w:sz="0" w:space="0" w:color="00000A"/>
          <w:left w:val="none" w:sz="0" w:space="0" w:color="00000A"/>
          <w:bottom w:val="none" w:sz="0" w:space="0" w:color="00000A"/>
          <w:right w:val="none" w:sz="0" w:space="0" w:color="00000A"/>
        </w:pBdr>
        <w:tabs>
          <w:tab w:val="clear" w:pos="425"/>
          <w:tab w:val="left" w:pos="567"/>
        </w:tabs>
        <w:suppressAutoHyphens/>
        <w:autoSpaceDE/>
        <w:autoSpaceDN/>
        <w:spacing w:before="0" w:line="360" w:lineRule="auto"/>
        <w:ind w:left="0" w:firstLine="0"/>
        <w:contextualSpacing/>
        <w:jc w:val="both"/>
        <w:rPr>
          <w:rFonts w:ascii="Arial" w:hAnsi="Arial" w:cs="Arial"/>
          <w:bCs/>
          <w:iCs/>
        </w:rPr>
      </w:pPr>
      <w:r w:rsidRPr="00A545EB">
        <w:rPr>
          <w:rFonts w:ascii="Arial" w:hAnsi="Arial" w:cs="Arial"/>
          <w:bCs/>
          <w:iCs/>
        </w:rPr>
        <w:lastRenderedPageBreak/>
        <w:t>Os objetos da da contratação deverão cumprir todas as normas regulamentadoras vigentes no país, conforme suas especificações e categorias;</w:t>
      </w:r>
    </w:p>
    <w:p w14:paraId="531642B8" w14:textId="58B2ECD5" w:rsidR="00A545EB" w:rsidRPr="00A545EB" w:rsidRDefault="00A545EB" w:rsidP="00A545EB">
      <w:pPr>
        <w:pStyle w:val="PargrafodaLista"/>
        <w:widowControl/>
        <w:numPr>
          <w:ilvl w:val="3"/>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Os bens serão recebidos provisoriamente, de forma sumária, no prazo de 3 (três) dias, pelo responsável pelo acompanhamento e fiscalização do contrato, para efeito de posterior verificação de sua conformidade com as especificações constantes neste Termo de Referência e na proposta.</w:t>
      </w:r>
    </w:p>
    <w:p w14:paraId="180A6304" w14:textId="65ED79C5" w:rsidR="00A545EB" w:rsidRPr="00A545EB" w:rsidRDefault="00A545EB" w:rsidP="00A545EB">
      <w:pPr>
        <w:pStyle w:val="PargrafodaLista"/>
        <w:widowControl/>
        <w:numPr>
          <w:ilvl w:val="3"/>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1853F95" w14:textId="6188DDB0" w:rsidR="00A545EB" w:rsidRPr="00A545EB" w:rsidRDefault="00A545EB" w:rsidP="00A545EB">
      <w:pPr>
        <w:pStyle w:val="PargrafodaLista"/>
        <w:widowControl/>
        <w:numPr>
          <w:ilvl w:val="3"/>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Os bens serão recebidos definitivamente no prazo de 3 (três) dias, contados do recebimento provisório, após a verificação da qualidade e consequente aceitação mediante termo detalhado.</w:t>
      </w:r>
    </w:p>
    <w:p w14:paraId="4FE51AA2" w14:textId="695E703F" w:rsidR="00A545EB" w:rsidRPr="00A545EB" w:rsidRDefault="00A545EB" w:rsidP="00A545EB">
      <w:pPr>
        <w:pStyle w:val="PargrafodaLista"/>
        <w:widowControl/>
        <w:numPr>
          <w:ilvl w:val="3"/>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Na hipótese de a verificação a que de refere o subitem anterior não ser procedida dentro do prazo fixado, reputar-se-á como realizada, consumando-se o recebimento definitivo no dia do esgotamento do prezo.</w:t>
      </w:r>
    </w:p>
    <w:p w14:paraId="233B9B16" w14:textId="5CEF46B6" w:rsidR="00A545EB" w:rsidRDefault="00A545EB" w:rsidP="00A545EB">
      <w:pPr>
        <w:pStyle w:val="PargrafodaLista"/>
        <w:widowControl/>
        <w:numPr>
          <w:ilvl w:val="3"/>
          <w:numId w:val="2"/>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rPr>
      </w:pPr>
      <w:r w:rsidRPr="00A545EB">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62788CAE" w14:textId="05D9AAB5" w:rsidR="00A545EB" w:rsidRPr="00A545EB" w:rsidRDefault="00A545EB" w:rsidP="00A545EB">
      <w:pPr>
        <w:pStyle w:val="PargrafodaLista"/>
        <w:widowControl/>
        <w:numPr>
          <w:ilvl w:val="1"/>
          <w:numId w:val="2"/>
        </w:numPr>
        <w:pBdr>
          <w:top w:val="none" w:sz="0" w:space="0" w:color="00000A"/>
          <w:left w:val="none" w:sz="0" w:space="0" w:color="00000A"/>
          <w:bottom w:val="none" w:sz="0" w:space="0" w:color="00000A"/>
          <w:right w:val="none" w:sz="0" w:space="0" w:color="00000A"/>
        </w:pBdr>
        <w:suppressAutoHyphens/>
        <w:autoSpaceDE/>
        <w:autoSpaceDN/>
        <w:spacing w:line="360" w:lineRule="auto"/>
        <w:ind w:left="0" w:firstLine="0"/>
        <w:contextualSpacing/>
        <w:jc w:val="both"/>
        <w:rPr>
          <w:rFonts w:ascii="Arial" w:hAnsi="Arial" w:cs="Arial"/>
          <w:bCs/>
          <w:iCs/>
          <w:u w:val="single"/>
        </w:rPr>
      </w:pPr>
      <w:r w:rsidRPr="00A545EB">
        <w:rPr>
          <w:rFonts w:ascii="Arial" w:hAnsi="Arial" w:cs="Arial"/>
          <w:bCs/>
          <w:iCs/>
          <w:u w:val="single"/>
        </w:rPr>
        <w:t>MODELO DE GESTÃO DO CONTRATO:</w:t>
      </w:r>
    </w:p>
    <w:p w14:paraId="6F63BC17" w14:textId="2DF2A3C0"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bookmarkStart w:id="3" w:name="art115§1"/>
      <w:bookmarkStart w:id="4" w:name="art115§5"/>
      <w:bookmarkEnd w:id="3"/>
      <w:bookmarkEnd w:id="4"/>
    </w:p>
    <w:p w14:paraId="6033B63D" w14:textId="4A330DF1"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A execução do contrato deverá ser acompanhada e fiscalizada pelo(s) fiscal(is) do contrato, ou pelos respectivos substitutos.</w:t>
      </w:r>
    </w:p>
    <w:p w14:paraId="3AE333FA" w14:textId="77777777"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w:t>
      </w:r>
    </w:p>
    <w:p w14:paraId="394DD44A" w14:textId="77777777"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w:t>
      </w:r>
    </w:p>
    <w:p w14:paraId="79D5E5E2" w14:textId="77777777"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lastRenderedPageBreak/>
        <w:t>O contratado será obrigado a reparar, corrigir, remover, reconstruir ou substituir, a suas expensas, no total ou em parte, o objeto do contrato em que se verificarem vícios, defeitos ou incorreções resultantes de sua execução ou de materiais nela empregados.</w:t>
      </w:r>
      <w:bookmarkStart w:id="5" w:name="art117§2"/>
      <w:bookmarkStart w:id="6" w:name="art116"/>
      <w:bookmarkEnd w:id="5"/>
      <w:bookmarkEnd w:id="6"/>
    </w:p>
    <w:p w14:paraId="1DE1087D" w14:textId="0EC6E346"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A545EB">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5D0F60C6" w14:textId="58259F44"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A545EB">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32008311" w14:textId="70769111" w:rsidR="00A545EB" w:rsidRPr="00A545EB" w:rsidRDefault="00A545EB" w:rsidP="00A545EB">
      <w:pPr>
        <w:pStyle w:val="Nivel3"/>
        <w:numPr>
          <w:ilvl w:val="2"/>
          <w:numId w:val="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A545EB">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58B0F5AC" w14:textId="27B8BC37"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1"/>
      <w:bookmarkStart w:id="12" w:name="art122§2"/>
      <w:bookmarkStart w:id="13" w:name="art123"/>
      <w:bookmarkStart w:id="14" w:name="art122"/>
      <w:bookmarkEnd w:id="10"/>
      <w:bookmarkEnd w:id="11"/>
      <w:bookmarkEnd w:id="12"/>
      <w:bookmarkEnd w:id="13"/>
      <w:bookmarkEnd w:id="14"/>
      <w:r w:rsidRPr="00A545EB">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17CDA0CD" w14:textId="0909D061"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 órgão ou entidade poderá convocar representante da empresa para adoção de providências que devam ser cumpridas de imediato.</w:t>
      </w:r>
    </w:p>
    <w:p w14:paraId="469E9FBB" w14:textId="053993E4"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E6298CE" w14:textId="46AA5157"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378D08CD" w14:textId="465A4D62"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 gestor substituto e fiscal/fiscal substituto;</w:t>
      </w:r>
    </w:p>
    <w:p w14:paraId="389784E1" w14:textId="31C64F14"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7D16E80" w14:textId="7F93D1D8" w:rsidR="00A545EB" w:rsidRPr="00A545EB" w:rsidRDefault="00A545EB" w:rsidP="00A545E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A545EB">
        <w:rPr>
          <w:rFonts w:eastAsia="Verdana"/>
          <w:bCs/>
          <w:iCs/>
          <w:color w:val="auto"/>
          <w:sz w:val="22"/>
          <w:szCs w:val="22"/>
          <w:lang w:val="pt-PT" w:eastAsia="en-US"/>
        </w:rPr>
        <w:t>O(os) fiscal(is) designado pela Contratante deverá ter a experiência necessária para o acompanhamento e controle da execução dos serviços e do contrato;</w:t>
      </w:r>
    </w:p>
    <w:p w14:paraId="4C37703D" w14:textId="6854CE77" w:rsidR="00A545EB" w:rsidRPr="00A545EB" w:rsidRDefault="00A545EB" w:rsidP="00A545EB">
      <w:pPr>
        <w:widowControl/>
        <w:pBdr>
          <w:top w:val="none" w:sz="0" w:space="0" w:color="00000A"/>
          <w:left w:val="none" w:sz="0" w:space="0" w:color="00000A"/>
          <w:bottom w:val="none" w:sz="0" w:space="0" w:color="00000A"/>
          <w:right w:val="none" w:sz="0" w:space="0" w:color="00000A"/>
        </w:pBdr>
        <w:suppressAutoHyphens/>
        <w:autoSpaceDE/>
        <w:autoSpaceDN/>
        <w:spacing w:line="360" w:lineRule="auto"/>
        <w:contextualSpacing/>
        <w:jc w:val="both"/>
        <w:rPr>
          <w:rFonts w:ascii="Arial" w:hAnsi="Arial" w:cs="Arial"/>
          <w:bCs/>
          <w:iCs/>
        </w:rPr>
      </w:pPr>
      <w:r w:rsidRPr="00A545EB">
        <w:rPr>
          <w:rFonts w:ascii="Arial" w:hAnsi="Arial" w:cs="Arial"/>
          <w:bCs/>
          <w:iCs/>
        </w:rPr>
        <w:lastRenderedPageBreak/>
        <w:t>3.2.16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09E8045" w14:textId="77777777" w:rsidR="00C76FC1" w:rsidRPr="008C13A3" w:rsidRDefault="00C76FC1"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A545EB"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545EB">
        <w:rPr>
          <w:rFonts w:ascii="Arial" w:hAnsi="Arial" w:cs="Arial"/>
          <w:bCs/>
          <w:iCs/>
        </w:rPr>
        <w:t>O valor total da contratação é de R$.......... (.....)</w:t>
      </w:r>
    </w:p>
    <w:p w14:paraId="19E0CAC1" w14:textId="3066B963" w:rsidR="001D32DF" w:rsidRPr="00A545EB"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545E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A545EB"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545EB">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2EEDC2D" w14:textId="0E7AB802" w:rsidR="00B67232" w:rsidRPr="00B67232" w:rsidRDefault="00B67232" w:rsidP="00B67232">
      <w:pPr>
        <w:pStyle w:val="PargrafodaLista"/>
        <w:widowControl/>
        <w:numPr>
          <w:ilvl w:val="1"/>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 xml:space="preserve">A nota fiscal deverá ser emitida em nome de: </w:t>
      </w:r>
      <w:r w:rsidRPr="00B67232">
        <w:rPr>
          <w:rFonts w:ascii="Arial" w:hAnsi="Arial" w:cs="Arial"/>
          <w:b/>
          <w:iCs/>
        </w:rPr>
        <w:t>FUNDO ESPECIAL DA ADMINISTRAÇÃO FAZENDÁRIA E TRIBUTÁRIA MUNICIPAL, CNPJ: 50.228.528.0001-90, ENDEREÇO: AVENIDA ALBERTO BRAUNE, 225, CENTRO, NOVA FRIBURGO - RJ, CEP: 28613-001</w:t>
      </w:r>
      <w:r w:rsidRPr="00B67232">
        <w:rPr>
          <w:rFonts w:ascii="Arial" w:hAnsi="Arial" w:cs="Arial"/>
          <w:bCs/>
          <w:iCs/>
        </w:rPr>
        <w:t>.</w:t>
      </w:r>
    </w:p>
    <w:p w14:paraId="70817280" w14:textId="6D0FA791" w:rsidR="00B67232" w:rsidRPr="00B67232" w:rsidRDefault="00B67232" w:rsidP="00B67232">
      <w:pPr>
        <w:widowControl/>
        <w:numPr>
          <w:ilvl w:val="1"/>
          <w:numId w:val="2"/>
        </w:numPr>
        <w:shd w:val="clear" w:color="auto" w:fill="FFFFFF" w:themeFill="background1"/>
        <w:suppressAutoHyphens/>
        <w:autoSpaceDE/>
        <w:autoSpaceDN/>
        <w:spacing w:line="360" w:lineRule="auto"/>
        <w:ind w:left="0" w:firstLine="0"/>
        <w:jc w:val="both"/>
        <w:rPr>
          <w:rFonts w:ascii="Arial" w:hAnsi="Arial" w:cs="Arial"/>
          <w:bCs/>
          <w:iCs/>
          <w:u w:val="single"/>
        </w:rPr>
      </w:pPr>
      <w:r w:rsidRPr="00B67232">
        <w:rPr>
          <w:rFonts w:ascii="Arial" w:hAnsi="Arial" w:cs="Arial"/>
          <w:bCs/>
          <w:iCs/>
          <w:u w:val="single"/>
        </w:rPr>
        <w:t>DA LIQUIDAÇÃO DA DESPESA</w:t>
      </w:r>
      <w:r>
        <w:rPr>
          <w:rFonts w:ascii="Arial" w:hAnsi="Arial" w:cs="Arial"/>
          <w:bCs/>
          <w:iCs/>
          <w:u w:val="single"/>
        </w:rPr>
        <w:t>:</w:t>
      </w:r>
    </w:p>
    <w:p w14:paraId="311295A2" w14:textId="40DE4657" w:rsidR="00B67232" w:rsidRPr="00B67232" w:rsidRDefault="00B67232" w:rsidP="00B67232">
      <w:pPr>
        <w:widowControl/>
        <w:numPr>
          <w:ilvl w:val="2"/>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 xml:space="preserve">A liquidação será realizada pela Secretaria Municipal de </w:t>
      </w:r>
      <w:r w:rsidR="004024E8">
        <w:rPr>
          <w:rFonts w:ascii="Arial" w:hAnsi="Arial" w:cs="Arial"/>
          <w:bCs/>
          <w:iCs/>
        </w:rPr>
        <w:t>Fazenda</w:t>
      </w:r>
      <w:r w:rsidRPr="00B67232">
        <w:rPr>
          <w:rFonts w:ascii="Arial" w:hAnsi="Arial" w:cs="Arial"/>
          <w:bCs/>
          <w:iCs/>
        </w:rPr>
        <w:t>, a partir do cumprimento das obrigações elencadas neste Termo de Referência, em obediência ao Decreto nº 2493, de 07 de novembro de 2023.</w:t>
      </w:r>
    </w:p>
    <w:p w14:paraId="31032884" w14:textId="77777777" w:rsidR="00B67232" w:rsidRPr="00B67232" w:rsidRDefault="00B67232" w:rsidP="00B67232">
      <w:pPr>
        <w:widowControl/>
        <w:numPr>
          <w:ilvl w:val="1"/>
          <w:numId w:val="2"/>
        </w:numPr>
        <w:shd w:val="clear" w:color="auto" w:fill="FFFFFF" w:themeFill="background1"/>
        <w:suppressAutoHyphens/>
        <w:autoSpaceDE/>
        <w:autoSpaceDN/>
        <w:spacing w:line="360" w:lineRule="auto"/>
        <w:ind w:left="0" w:firstLine="0"/>
        <w:jc w:val="both"/>
        <w:rPr>
          <w:rFonts w:ascii="Arial" w:hAnsi="Arial" w:cs="Arial"/>
          <w:bCs/>
          <w:iCs/>
          <w:u w:val="single"/>
        </w:rPr>
      </w:pPr>
      <w:r w:rsidRPr="00B67232">
        <w:rPr>
          <w:rFonts w:ascii="Arial" w:hAnsi="Arial" w:cs="Arial"/>
          <w:bCs/>
          <w:iCs/>
          <w:u w:val="single"/>
        </w:rPr>
        <w:t>DO PAGAMENTO DA DESPESA:</w:t>
      </w:r>
    </w:p>
    <w:p w14:paraId="6136206D" w14:textId="77777777" w:rsidR="00B67232" w:rsidRPr="00B67232" w:rsidRDefault="00B67232" w:rsidP="00B67232">
      <w:pPr>
        <w:widowControl/>
        <w:numPr>
          <w:ilvl w:val="2"/>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O pagamento será efetuado conforme estabelecido no Decreto Municipal nº 2493, de 07 de novembro de 2023, desde que as certidões listadas abaixo estejam dentro da validade:</w:t>
      </w:r>
    </w:p>
    <w:p w14:paraId="7486D295"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t>Negativa de Débitos Trabalhistas;</w:t>
      </w:r>
    </w:p>
    <w:p w14:paraId="734987ED"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t>Fazenda Federal – abrange as contribuições sociais;</w:t>
      </w:r>
    </w:p>
    <w:p w14:paraId="66F07B38"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t>FGTS;</w:t>
      </w:r>
    </w:p>
    <w:p w14:paraId="32B3F161"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t>PGE – referente à Dívida Ativa Estadual;</w:t>
      </w:r>
    </w:p>
    <w:p w14:paraId="3C3FEE81"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lastRenderedPageBreak/>
        <w:t>Municipal – referente ao ISS e Dívida Ativa;</w:t>
      </w:r>
    </w:p>
    <w:p w14:paraId="7BADA3A6" w14:textId="77777777" w:rsidR="00B67232" w:rsidRPr="00B67232" w:rsidRDefault="00B67232" w:rsidP="00B67232">
      <w:pPr>
        <w:widowControl/>
        <w:numPr>
          <w:ilvl w:val="0"/>
          <w:numId w:val="12"/>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B67232">
        <w:rPr>
          <w:rFonts w:ascii="Arial" w:hAnsi="Arial" w:cs="Arial"/>
          <w:bCs/>
          <w:iCs/>
        </w:rPr>
        <w:t>Estadual CND – referente ao ICMS.</w:t>
      </w:r>
    </w:p>
    <w:p w14:paraId="4F6C20DF" w14:textId="77777777" w:rsidR="00B67232" w:rsidRPr="00B67232" w:rsidRDefault="00B67232" w:rsidP="00B67232">
      <w:pPr>
        <w:widowControl/>
        <w:numPr>
          <w:ilvl w:val="2"/>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A Nota Fiscal deverá conter a identificação do Banco, número da Agência e da Conta Corrente, para que possibilite o CONTRATANTE efetuar o pagamento do valor devido.</w:t>
      </w:r>
    </w:p>
    <w:p w14:paraId="0235F7BD" w14:textId="77777777" w:rsidR="00B67232" w:rsidRPr="00B67232" w:rsidRDefault="00B67232" w:rsidP="00B67232">
      <w:pPr>
        <w:widowControl/>
        <w:numPr>
          <w:ilvl w:val="2"/>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Na ocorrência de rejeição da(s) Nota(s) Fiscal (s), motivada por erro ou incorreções, o prazo para pagamento estipulado acima passará a ser contado a partir da data de sua reapresentação.</w:t>
      </w:r>
    </w:p>
    <w:p w14:paraId="6B6DB046" w14:textId="77777777" w:rsidR="00B67232" w:rsidRPr="00B67232" w:rsidRDefault="00B67232" w:rsidP="00B67232">
      <w:pPr>
        <w:widowControl/>
        <w:numPr>
          <w:ilvl w:val="2"/>
          <w:numId w:val="2"/>
        </w:numPr>
        <w:shd w:val="clear" w:color="auto" w:fill="FFFFFF" w:themeFill="background1"/>
        <w:suppressAutoHyphens/>
        <w:autoSpaceDE/>
        <w:autoSpaceDN/>
        <w:spacing w:line="360" w:lineRule="auto"/>
        <w:ind w:left="0" w:firstLine="0"/>
        <w:jc w:val="both"/>
        <w:rPr>
          <w:rFonts w:ascii="Arial" w:hAnsi="Arial" w:cs="Arial"/>
          <w:bCs/>
          <w:iCs/>
        </w:rPr>
      </w:pPr>
      <w:r w:rsidRPr="00B67232">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A106A7C" w14:textId="77777777" w:rsidR="00B67232" w:rsidRPr="00B67232" w:rsidRDefault="00B67232" w:rsidP="00B67232">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B6723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2FDD2953" w14:textId="77777777" w:rsidR="00455D31" w:rsidRPr="008C13A3" w:rsidRDefault="00455D31"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A07492"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07492">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07492">
        <w:rPr>
          <w:rFonts w:ascii="Arial" w:hAnsi="Arial" w:cs="Arial"/>
          <w:bCs/>
          <w:iCs/>
        </w:rPr>
        <w:t>Após o interregno de um ano, e independentemente de pedido do contratado</w:t>
      </w:r>
      <w:r w:rsidRPr="008C13A3">
        <w:rPr>
          <w:rFonts w:ascii="Arial" w:hAnsi="Arial" w:cs="Arial"/>
          <w:bCs/>
          <w:iCs/>
        </w:rPr>
        <w:t xml:space="preserve">,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A0749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A0749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07492">
        <w:rPr>
          <w:rFonts w:ascii="Arial" w:hAnsi="Arial" w:cs="Arial"/>
          <w:bCs/>
          <w:iCs/>
          <w:lang w:val="pt-BR"/>
        </w:rPr>
        <w:t xml:space="preserve"> A Administração terá o prazo de </w:t>
      </w:r>
      <w:r w:rsidRPr="00A07492">
        <w:rPr>
          <w:rFonts w:ascii="Arial" w:hAnsi="Arial" w:cs="Arial"/>
          <w:bCs/>
          <w:iCs/>
        </w:rPr>
        <w:t>1 (um) mês</w:t>
      </w:r>
      <w:r w:rsidRPr="00A0749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A0749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07492">
        <w:rPr>
          <w:rFonts w:ascii="Arial" w:hAnsi="Arial" w:cs="Arial"/>
          <w:bCs/>
          <w:iCs/>
          <w:lang w:val="pt-BR"/>
        </w:rPr>
        <w:t xml:space="preserve">Responder eventuais pedidos de reestabelecimento do equilíbrio econômico-financeiro feitos pelo contratado no prazo máximo de </w:t>
      </w:r>
      <w:r w:rsidRPr="00A07492">
        <w:rPr>
          <w:rFonts w:ascii="Arial" w:hAnsi="Arial" w:cs="Arial"/>
          <w:bCs/>
          <w:iCs/>
        </w:rPr>
        <w:t>1 (um) mês</w:t>
      </w:r>
      <w:r w:rsidRPr="00A07492">
        <w:rPr>
          <w:rFonts w:ascii="Arial" w:hAnsi="Arial" w:cs="Arial"/>
          <w:bCs/>
          <w:iCs/>
          <w:lang w:val="pt-BR"/>
        </w:rPr>
        <w:t>.</w:t>
      </w:r>
    </w:p>
    <w:p w14:paraId="5080FE7D" w14:textId="48BDB07E"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028B74D" w14:textId="77777777" w:rsidR="00A07492" w:rsidRPr="008C13A3" w:rsidRDefault="00A07492" w:rsidP="00A07492">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w:t>
      </w:r>
      <w:r w:rsidRPr="008C13A3">
        <w:rPr>
          <w:rFonts w:ascii="Arial" w:hAnsi="Arial" w:cs="Arial"/>
        </w:rPr>
        <w:lastRenderedPageBreak/>
        <w:t>parente em linha reta, colateral ou por afinidade, até o terceiro grau (art. 14, inciso IV, da Lei n.º 14.133, de 2021).</w:t>
      </w:r>
    </w:p>
    <w:p w14:paraId="507C1573" w14:textId="5BA5D455"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56810A22" w14:textId="57EF4F8D" w:rsidR="00B24244" w:rsidRPr="00B24244" w:rsidRDefault="00B24244" w:rsidP="00B24244">
      <w:pPr>
        <w:pStyle w:val="Nivel1"/>
        <w:keepLines w:val="0"/>
        <w:numPr>
          <w:ilvl w:val="1"/>
          <w:numId w:val="2"/>
        </w:numPr>
        <w:suppressAutoHyphens/>
        <w:spacing w:before="0" w:after="0" w:line="360" w:lineRule="auto"/>
        <w:ind w:left="0" w:firstLine="0"/>
        <w:rPr>
          <w:rFonts w:eastAsia="Verdana"/>
          <w:b w:val="0"/>
          <w:color w:val="auto"/>
          <w:sz w:val="22"/>
          <w:szCs w:val="22"/>
          <w:lang w:val="pt-PT"/>
        </w:rPr>
      </w:pPr>
      <w:r w:rsidRPr="00B24244">
        <w:rPr>
          <w:rFonts w:eastAsia="Verdana"/>
          <w:b w:val="0"/>
          <w:color w:val="auto"/>
          <w:sz w:val="22"/>
          <w:szCs w:val="22"/>
          <w:lang w:val="pt-PT"/>
        </w:rPr>
        <w:t>As despesas decorrentes da presente contratação ocorrerão à conta de recursos específicos consignados no Orçamento do Município, na forma abaixo:</w:t>
      </w:r>
    </w:p>
    <w:tbl>
      <w:tblPr>
        <w:tblStyle w:val="Tabelacomgrade"/>
        <w:tblW w:w="9222" w:type="dxa"/>
        <w:tblLook w:val="04A0" w:firstRow="1" w:lastRow="0" w:firstColumn="1" w:lastColumn="0" w:noHBand="0" w:noVBand="1"/>
      </w:tblPr>
      <w:tblGrid>
        <w:gridCol w:w="851"/>
        <w:gridCol w:w="2551"/>
        <w:gridCol w:w="5820"/>
      </w:tblGrid>
      <w:tr w:rsidR="00B24244" w:rsidRPr="00B24244" w14:paraId="0A22EF16" w14:textId="77777777" w:rsidTr="00B24244">
        <w:tc>
          <w:tcPr>
            <w:tcW w:w="851" w:type="dxa"/>
            <w:tcBorders>
              <w:left w:val="nil"/>
              <w:right w:val="nil"/>
            </w:tcBorders>
            <w:vAlign w:val="center"/>
          </w:tcPr>
          <w:p w14:paraId="2F6EA26E" w14:textId="6D3CFDDD" w:rsidR="00B24244" w:rsidRPr="00B24244" w:rsidRDefault="00B24244" w:rsidP="00B24244">
            <w:pPr>
              <w:pStyle w:val="PargrafodaLista"/>
              <w:overflowPunct w:val="0"/>
              <w:ind w:left="0"/>
              <w:jc w:val="both"/>
              <w:rPr>
                <w:rFonts w:ascii="Arial" w:hAnsi="Arial" w:cs="Arial"/>
              </w:rPr>
            </w:pPr>
            <w:r w:rsidRPr="00B24244">
              <w:rPr>
                <w:rFonts w:ascii="Arial" w:hAnsi="Arial" w:cs="Arial"/>
              </w:rPr>
              <w:t>1</w:t>
            </w:r>
            <w:r>
              <w:rPr>
                <w:rFonts w:ascii="Arial" w:hAnsi="Arial" w:cs="Arial"/>
              </w:rPr>
              <w:t>3</w:t>
            </w:r>
            <w:r w:rsidRPr="00B24244">
              <w:rPr>
                <w:rFonts w:ascii="Arial" w:hAnsi="Arial" w:cs="Arial"/>
              </w:rPr>
              <w:t>.1.1</w:t>
            </w:r>
          </w:p>
        </w:tc>
        <w:tc>
          <w:tcPr>
            <w:tcW w:w="2551" w:type="dxa"/>
            <w:tcBorders>
              <w:left w:val="nil"/>
              <w:right w:val="nil"/>
            </w:tcBorders>
            <w:vAlign w:val="center"/>
          </w:tcPr>
          <w:p w14:paraId="425A14E7" w14:textId="77777777" w:rsidR="00B24244" w:rsidRPr="00B24244" w:rsidRDefault="00B24244" w:rsidP="00B24244">
            <w:pPr>
              <w:pStyle w:val="PargrafodaLista"/>
              <w:overflowPunct w:val="0"/>
              <w:ind w:left="0"/>
              <w:jc w:val="both"/>
              <w:rPr>
                <w:rFonts w:ascii="Arial" w:hAnsi="Arial" w:cs="Arial"/>
              </w:rPr>
            </w:pPr>
            <w:r w:rsidRPr="00B24244">
              <w:rPr>
                <w:rFonts w:ascii="Arial" w:hAnsi="Arial" w:cs="Arial"/>
              </w:rPr>
              <w:t>Elemento de Despesa:</w:t>
            </w:r>
          </w:p>
        </w:tc>
        <w:tc>
          <w:tcPr>
            <w:tcW w:w="5820" w:type="dxa"/>
            <w:tcBorders>
              <w:left w:val="nil"/>
              <w:right w:val="nil"/>
            </w:tcBorders>
            <w:vAlign w:val="center"/>
          </w:tcPr>
          <w:p w14:paraId="14E0AB93" w14:textId="77777777" w:rsidR="00B24244" w:rsidRPr="00B24244" w:rsidRDefault="00B24244" w:rsidP="00B24244">
            <w:pPr>
              <w:pStyle w:val="NormalWeb"/>
              <w:jc w:val="center"/>
              <w:rPr>
                <w:rFonts w:ascii="Arial" w:eastAsia="Verdana" w:hAnsi="Arial" w:cs="Arial"/>
                <w:sz w:val="22"/>
                <w:szCs w:val="22"/>
                <w:lang w:val="pt-PT" w:eastAsia="en-US"/>
              </w:rPr>
            </w:pPr>
            <w:r w:rsidRPr="00B24244">
              <w:rPr>
                <w:rFonts w:ascii="Arial" w:eastAsia="Verdana" w:hAnsi="Arial" w:cs="Arial"/>
                <w:sz w:val="22"/>
                <w:szCs w:val="22"/>
                <w:lang w:val="pt-PT" w:eastAsia="en-US"/>
              </w:rPr>
              <w:t>44.90.52.01- 44.90.52.03 - 44.90.52.10 - 44.90.52.12 - 44.90.52.17</w:t>
            </w:r>
          </w:p>
        </w:tc>
      </w:tr>
      <w:tr w:rsidR="00B24244" w:rsidRPr="00B24244" w14:paraId="04DFCBD2" w14:textId="77777777" w:rsidTr="00B24244">
        <w:tc>
          <w:tcPr>
            <w:tcW w:w="851" w:type="dxa"/>
            <w:tcBorders>
              <w:left w:val="nil"/>
              <w:right w:val="nil"/>
            </w:tcBorders>
            <w:vAlign w:val="center"/>
          </w:tcPr>
          <w:p w14:paraId="793AD9CF" w14:textId="5D966B0E" w:rsidR="00B24244" w:rsidRPr="00B24244" w:rsidRDefault="00B24244" w:rsidP="00B24244">
            <w:pPr>
              <w:pStyle w:val="PargrafodaLista"/>
              <w:overflowPunct w:val="0"/>
              <w:ind w:left="0"/>
              <w:jc w:val="both"/>
              <w:rPr>
                <w:rFonts w:ascii="Arial" w:hAnsi="Arial" w:cs="Arial"/>
              </w:rPr>
            </w:pPr>
            <w:r w:rsidRPr="00B24244">
              <w:rPr>
                <w:rFonts w:ascii="Arial" w:hAnsi="Arial" w:cs="Arial"/>
              </w:rPr>
              <w:t>1</w:t>
            </w:r>
            <w:r>
              <w:rPr>
                <w:rFonts w:ascii="Arial" w:hAnsi="Arial" w:cs="Arial"/>
              </w:rPr>
              <w:t>3</w:t>
            </w:r>
            <w:r w:rsidRPr="00B24244">
              <w:rPr>
                <w:rFonts w:ascii="Arial" w:hAnsi="Arial" w:cs="Arial"/>
              </w:rPr>
              <w:t>.1.2</w:t>
            </w:r>
          </w:p>
        </w:tc>
        <w:tc>
          <w:tcPr>
            <w:tcW w:w="2551" w:type="dxa"/>
            <w:tcBorders>
              <w:left w:val="nil"/>
              <w:right w:val="nil"/>
            </w:tcBorders>
            <w:vAlign w:val="center"/>
          </w:tcPr>
          <w:p w14:paraId="61C2CA97" w14:textId="77777777" w:rsidR="00B24244" w:rsidRPr="00B24244" w:rsidRDefault="00B24244" w:rsidP="00B24244">
            <w:pPr>
              <w:pStyle w:val="PargrafodaLista"/>
              <w:overflowPunct w:val="0"/>
              <w:ind w:left="0"/>
              <w:jc w:val="both"/>
              <w:rPr>
                <w:rFonts w:ascii="Arial" w:hAnsi="Arial" w:cs="Arial"/>
              </w:rPr>
            </w:pPr>
            <w:r w:rsidRPr="00B24244">
              <w:rPr>
                <w:rFonts w:ascii="Arial" w:hAnsi="Arial" w:cs="Arial"/>
              </w:rPr>
              <w:t>Fonte de Recurso:</w:t>
            </w:r>
          </w:p>
        </w:tc>
        <w:tc>
          <w:tcPr>
            <w:tcW w:w="5820" w:type="dxa"/>
            <w:tcBorders>
              <w:left w:val="nil"/>
              <w:right w:val="nil"/>
            </w:tcBorders>
            <w:vAlign w:val="center"/>
          </w:tcPr>
          <w:p w14:paraId="08E2EE62" w14:textId="77777777" w:rsidR="00B24244" w:rsidRPr="00B24244" w:rsidRDefault="00B24244" w:rsidP="00B24244">
            <w:pPr>
              <w:pStyle w:val="NormalWeb"/>
              <w:spacing w:beforeAutospacing="0" w:afterAutospacing="0"/>
              <w:jc w:val="center"/>
              <w:rPr>
                <w:rFonts w:ascii="Arial" w:eastAsia="Verdana" w:hAnsi="Arial" w:cs="Arial"/>
                <w:sz w:val="22"/>
                <w:szCs w:val="22"/>
                <w:lang w:val="pt-PT" w:eastAsia="en-US"/>
              </w:rPr>
            </w:pPr>
            <w:r w:rsidRPr="00B24244">
              <w:rPr>
                <w:rFonts w:ascii="Arial" w:eastAsia="Verdana" w:hAnsi="Arial" w:cs="Arial"/>
                <w:sz w:val="22"/>
                <w:szCs w:val="22"/>
                <w:lang w:val="pt-PT" w:eastAsia="en-US"/>
              </w:rPr>
              <w:t>175900000140</w:t>
            </w:r>
          </w:p>
        </w:tc>
      </w:tr>
      <w:tr w:rsidR="00B24244" w:rsidRPr="00B24244" w14:paraId="22B6ABB7" w14:textId="77777777" w:rsidTr="00B24244">
        <w:tc>
          <w:tcPr>
            <w:tcW w:w="851" w:type="dxa"/>
            <w:tcBorders>
              <w:left w:val="nil"/>
              <w:right w:val="nil"/>
            </w:tcBorders>
            <w:vAlign w:val="center"/>
          </w:tcPr>
          <w:p w14:paraId="189ADCD5" w14:textId="07E7BD24" w:rsidR="00B24244" w:rsidRPr="00B24244" w:rsidRDefault="00B24244" w:rsidP="00B24244">
            <w:pPr>
              <w:pStyle w:val="PargrafodaLista"/>
              <w:overflowPunct w:val="0"/>
              <w:ind w:left="0"/>
              <w:jc w:val="both"/>
              <w:rPr>
                <w:rFonts w:ascii="Arial" w:hAnsi="Arial" w:cs="Arial"/>
              </w:rPr>
            </w:pPr>
            <w:r w:rsidRPr="00B24244">
              <w:rPr>
                <w:rFonts w:ascii="Arial" w:hAnsi="Arial" w:cs="Arial"/>
              </w:rPr>
              <w:t>1</w:t>
            </w:r>
            <w:r>
              <w:rPr>
                <w:rFonts w:ascii="Arial" w:hAnsi="Arial" w:cs="Arial"/>
              </w:rPr>
              <w:t>3</w:t>
            </w:r>
            <w:r w:rsidRPr="00B24244">
              <w:rPr>
                <w:rFonts w:ascii="Arial" w:hAnsi="Arial" w:cs="Arial"/>
              </w:rPr>
              <w:t>.1.3</w:t>
            </w:r>
          </w:p>
        </w:tc>
        <w:tc>
          <w:tcPr>
            <w:tcW w:w="2551" w:type="dxa"/>
            <w:tcBorders>
              <w:left w:val="nil"/>
              <w:right w:val="nil"/>
            </w:tcBorders>
            <w:vAlign w:val="center"/>
          </w:tcPr>
          <w:p w14:paraId="08168AEF" w14:textId="77777777" w:rsidR="00B24244" w:rsidRPr="00B24244" w:rsidRDefault="00B24244" w:rsidP="00B24244">
            <w:pPr>
              <w:pStyle w:val="PargrafodaLista"/>
              <w:overflowPunct w:val="0"/>
              <w:ind w:left="0"/>
              <w:jc w:val="both"/>
              <w:rPr>
                <w:rFonts w:ascii="Arial" w:hAnsi="Arial" w:cs="Arial"/>
              </w:rPr>
            </w:pPr>
            <w:r w:rsidRPr="00B24244">
              <w:rPr>
                <w:rFonts w:ascii="Arial" w:hAnsi="Arial" w:cs="Arial"/>
              </w:rPr>
              <w:t>Programa de Trabalho:</w:t>
            </w:r>
          </w:p>
        </w:tc>
        <w:tc>
          <w:tcPr>
            <w:tcW w:w="5820" w:type="dxa"/>
            <w:tcBorders>
              <w:left w:val="nil"/>
              <w:right w:val="nil"/>
            </w:tcBorders>
            <w:vAlign w:val="center"/>
          </w:tcPr>
          <w:p w14:paraId="63DCA519" w14:textId="77777777" w:rsidR="00B24244" w:rsidRPr="00B24244" w:rsidRDefault="00B24244" w:rsidP="00B24244">
            <w:pPr>
              <w:pStyle w:val="NormalWeb"/>
              <w:spacing w:beforeAutospacing="0" w:afterAutospacing="0"/>
              <w:jc w:val="center"/>
              <w:rPr>
                <w:rFonts w:ascii="Arial" w:eastAsia="Verdana" w:hAnsi="Arial" w:cs="Arial"/>
                <w:sz w:val="22"/>
                <w:szCs w:val="22"/>
                <w:lang w:val="pt-PT" w:eastAsia="en-US"/>
              </w:rPr>
            </w:pPr>
            <w:r w:rsidRPr="00B24244">
              <w:rPr>
                <w:rFonts w:ascii="Arial" w:eastAsia="Verdana" w:hAnsi="Arial" w:cs="Arial"/>
                <w:sz w:val="22"/>
                <w:szCs w:val="22"/>
                <w:lang w:val="pt-PT" w:eastAsia="en-US"/>
              </w:rPr>
              <w:t>46001.0412301212.341</w:t>
            </w:r>
          </w:p>
        </w:tc>
      </w:tr>
    </w:tbl>
    <w:p w14:paraId="54E65A14" w14:textId="77777777" w:rsidR="00B24244" w:rsidRPr="00B24244" w:rsidRDefault="00B24244" w:rsidP="00B24244">
      <w:pPr>
        <w:pStyle w:val="Nivel1"/>
        <w:numPr>
          <w:ilvl w:val="0"/>
          <w:numId w:val="0"/>
        </w:numPr>
        <w:spacing w:before="0" w:after="0" w:line="360" w:lineRule="auto"/>
        <w:rPr>
          <w:rFonts w:eastAsia="Verdana"/>
          <w:b w:val="0"/>
          <w:color w:val="auto"/>
          <w:sz w:val="22"/>
          <w:szCs w:val="22"/>
          <w:lang w:val="pt-PT"/>
        </w:rPr>
      </w:pPr>
    </w:p>
    <w:p w14:paraId="241A9FDD" w14:textId="77777777" w:rsidR="00B24244" w:rsidRPr="00B24244" w:rsidRDefault="00B24244" w:rsidP="00B24244">
      <w:pPr>
        <w:pStyle w:val="Nivel1"/>
        <w:keepLines w:val="0"/>
        <w:numPr>
          <w:ilvl w:val="1"/>
          <w:numId w:val="2"/>
        </w:numPr>
        <w:suppressAutoHyphens/>
        <w:spacing w:before="0" w:after="0" w:line="360" w:lineRule="auto"/>
        <w:ind w:left="0" w:firstLine="0"/>
        <w:rPr>
          <w:rFonts w:eastAsia="Verdana"/>
          <w:b w:val="0"/>
          <w:color w:val="auto"/>
          <w:sz w:val="22"/>
          <w:szCs w:val="22"/>
          <w:lang w:val="pt-PT"/>
        </w:rPr>
      </w:pPr>
      <w:r w:rsidRPr="00B24244">
        <w:rPr>
          <w:rFonts w:eastAsia="Verdana"/>
          <w:b w:val="0"/>
          <w:color w:val="auto"/>
          <w:sz w:val="22"/>
          <w:szCs w:val="22"/>
          <w:lang w:val="pt-PT"/>
        </w:rPr>
        <w:t xml:space="preserve">As notas fiscais deverão ser emitidas em nome do </w:t>
      </w:r>
      <w:r w:rsidRPr="00B24244">
        <w:rPr>
          <w:rFonts w:eastAsia="Verdana"/>
          <w:bCs/>
          <w:color w:val="auto"/>
          <w:sz w:val="22"/>
          <w:szCs w:val="22"/>
          <w:lang w:val="pt-PT"/>
        </w:rPr>
        <w:t>FUNDO ESPECIAL DA ADMINISTRAÇÃO FAZENDÁRIA E TRIBUTÁRIA MUNICIPAL , CPNJ: 50.228.528/0001-90 -  AVENIDA ALBERTO BRAUNE, Nº 225 CENTRO - NOVA FRIBURGO - CEP. 28613/0001</w:t>
      </w:r>
      <w:r w:rsidRPr="00B24244">
        <w:rPr>
          <w:rFonts w:eastAsia="Verdana"/>
          <w:b w:val="0"/>
          <w:color w:val="auto"/>
          <w:sz w:val="22"/>
          <w:szCs w:val="22"/>
          <w:lang w:val="pt-PT"/>
        </w:rPr>
        <w:t>.</w:t>
      </w:r>
    </w:p>
    <w:p w14:paraId="120C7BB4" w14:textId="2710883A"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lastRenderedPageBreak/>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73647E05"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927D6">
        <w:rPr>
          <w:rFonts w:ascii="Arial" w:hAnsi="Arial" w:cs="Arial"/>
        </w:rPr>
        <w:t>5</w:t>
      </w:r>
      <w:r w:rsidR="00BF196C">
        <w:rPr>
          <w:rFonts w:ascii="Arial" w:hAnsi="Arial" w:cs="Arial"/>
        </w:rPr>
        <w:t>.</w:t>
      </w:r>
    </w:p>
    <w:p w14:paraId="2C095078" w14:textId="03970A23" w:rsidR="00320761" w:rsidRDefault="00320761" w:rsidP="001D32DF">
      <w:pPr>
        <w:spacing w:after="120"/>
        <w:jc w:val="center"/>
        <w:rPr>
          <w:rFonts w:ascii="Arial" w:hAnsi="Arial" w:cs="Arial"/>
          <w:bCs/>
        </w:rPr>
      </w:pPr>
    </w:p>
    <w:p w14:paraId="546CA07A" w14:textId="77777777" w:rsidR="00B24244" w:rsidRPr="008C13A3" w:rsidRDefault="00B24244"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66555843" w:rsidR="00320761" w:rsidRDefault="00320761" w:rsidP="001D32DF">
      <w:pPr>
        <w:spacing w:after="120"/>
        <w:jc w:val="center"/>
        <w:rPr>
          <w:rFonts w:ascii="Arial" w:hAnsi="Arial" w:cs="Arial"/>
        </w:rPr>
      </w:pPr>
    </w:p>
    <w:p w14:paraId="7327EA6A" w14:textId="77777777" w:rsidR="00B24244" w:rsidRPr="008C13A3" w:rsidRDefault="00B24244"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D58C9CF" w:rsidR="001D32DF" w:rsidRDefault="001D32DF" w:rsidP="001D32DF">
      <w:pPr>
        <w:spacing w:after="120"/>
        <w:jc w:val="center"/>
        <w:rPr>
          <w:rFonts w:ascii="Arial" w:hAnsi="Arial" w:cs="Arial"/>
        </w:rPr>
      </w:pPr>
      <w:r w:rsidRPr="008C13A3">
        <w:rPr>
          <w:rFonts w:ascii="Arial" w:hAnsi="Arial" w:cs="Arial"/>
        </w:rPr>
        <w:t>Responsável legal da CONTRATADA</w:t>
      </w:r>
    </w:p>
    <w:p w14:paraId="3242FA38" w14:textId="77777777" w:rsidR="00B24244" w:rsidRPr="008C13A3" w:rsidRDefault="00B24244" w:rsidP="001D32DF">
      <w:pPr>
        <w:spacing w:after="120"/>
        <w:jc w:val="center"/>
        <w:rPr>
          <w:rFonts w:ascii="Arial" w:hAnsi="Arial" w:cs="Arial"/>
        </w:rPr>
      </w:pP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4929A6">
      <w:headerReference w:type="default" r:id="rId50"/>
      <w:footerReference w:type="default" r:id="rId51"/>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B0FA" w14:textId="77777777" w:rsidR="00A216BA" w:rsidRDefault="00A216BA">
      <w:r>
        <w:separator/>
      </w:r>
    </w:p>
  </w:endnote>
  <w:endnote w:type="continuationSeparator" w:id="0">
    <w:p w14:paraId="59C0E25E" w14:textId="77777777" w:rsidR="00A216BA" w:rsidRDefault="00A2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Segoe Print"/>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CC57" w14:textId="77777777" w:rsidR="00A216BA" w:rsidRDefault="00A216BA">
      <w:r>
        <w:separator/>
      </w:r>
    </w:p>
  </w:footnote>
  <w:footnote w:type="continuationSeparator" w:id="0">
    <w:p w14:paraId="4F47C1F4" w14:textId="77777777" w:rsidR="00A216BA" w:rsidRDefault="00A21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_Hlk168478269"/>
  <w:bookmarkStart w:id="17" w:name="_Hlk168478270"/>
  <w:bookmarkStart w:id="18" w:name="_Hlk181803704"/>
  <w:bookmarkStart w:id="19" w:name="_Hlk181803705"/>
  <w:p w14:paraId="466CB1D2" w14:textId="742E1794" w:rsidR="004929A6" w:rsidRDefault="004929A6" w:rsidP="004929A6">
    <w:pPr>
      <w:pStyle w:val="Cabealho"/>
      <w:ind w:left="142" w:hanging="568"/>
    </w:pPr>
    <w:r>
      <w:rPr>
        <w:noProof/>
      </w:rPr>
      <mc:AlternateContent>
        <mc:Choice Requires="wps">
          <w:drawing>
            <wp:anchor distT="0" distB="0" distL="114300" distR="114300" simplePos="0" relativeHeight="251659264" behindDoc="1" locked="0" layoutInCell="1" allowOverlap="1" wp14:anchorId="41CE3CA4" wp14:editId="10BE312C">
              <wp:simplePos x="0" y="0"/>
              <wp:positionH relativeFrom="column">
                <wp:posOffset>3634243</wp:posOffset>
              </wp:positionH>
              <wp:positionV relativeFrom="paragraph">
                <wp:posOffset>73163</wp:posOffset>
              </wp:positionV>
              <wp:extent cx="1883410" cy="647700"/>
              <wp:effectExtent l="0" t="0" r="2159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647700"/>
                      </a:xfrm>
                      <a:prstGeom prst="rect">
                        <a:avLst/>
                      </a:prstGeom>
                      <a:solidFill>
                        <a:srgbClr val="FFFFFF"/>
                      </a:solidFill>
                      <a:ln w="9360">
                        <a:solidFill>
                          <a:srgbClr val="000000"/>
                        </a:solidFill>
                        <a:round/>
                      </a:ln>
                      <a:effectLst/>
                    </wps:spPr>
                    <wps:txbx>
                      <w:txbxContent>
                        <w:p w14:paraId="65C3AAD3" w14:textId="77777777" w:rsidR="004929A6" w:rsidRDefault="004929A6" w:rsidP="004929A6">
                          <w:pPr>
                            <w:pStyle w:val="SemEspaamento"/>
                          </w:pPr>
                          <w:r>
                            <w:rPr>
                              <w:rFonts w:cs="Calibri"/>
                              <w:sz w:val="20"/>
                              <w:szCs w:val="20"/>
                            </w:rPr>
                            <w:t>PROCESSO Nº: 26.569/2023</w:t>
                          </w:r>
                        </w:p>
                        <w:p w14:paraId="1E7D3FF7" w14:textId="77777777" w:rsidR="004929A6" w:rsidRDefault="004929A6" w:rsidP="004929A6">
                          <w:pPr>
                            <w:pStyle w:val="SemEspaamento"/>
                          </w:pPr>
                        </w:p>
                        <w:p w14:paraId="460B9C01" w14:textId="77777777" w:rsidR="004929A6" w:rsidRDefault="004929A6" w:rsidP="004929A6">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1CE3CA4" id="Retângulo 2" o:spid="_x0000_s1026" style="position:absolute;left:0;text-align:left;margin-left:286.15pt;margin-top:5.75pt;width:148.3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" strokeweight=".26mm">
              <v:stroke joinstyle="round"/>
              <v:path arrowok="t"/>
              <v:textbox>
                <w:txbxContent>
                  <w:p w14:paraId="65C3AAD3" w14:textId="77777777" w:rsidR="004929A6" w:rsidRDefault="004929A6" w:rsidP="004929A6">
                    <w:pPr>
                      <w:pStyle w:val="SemEspaamento"/>
                    </w:pPr>
                    <w:r>
                      <w:rPr>
                        <w:rFonts w:cs="Calibri"/>
                        <w:sz w:val="20"/>
                        <w:szCs w:val="20"/>
                      </w:rPr>
                      <w:t>PROCESSO Nº: 26.569/2023</w:t>
                    </w:r>
                  </w:p>
                  <w:p w14:paraId="1E7D3FF7" w14:textId="77777777" w:rsidR="004929A6" w:rsidRDefault="004929A6" w:rsidP="004929A6">
                    <w:pPr>
                      <w:pStyle w:val="SemEspaamento"/>
                    </w:pPr>
                  </w:p>
                  <w:p w14:paraId="460B9C01" w14:textId="77777777" w:rsidR="004929A6" w:rsidRDefault="004929A6" w:rsidP="004929A6">
                    <w:pPr>
                      <w:pStyle w:val="SemEspaamento"/>
                    </w:pPr>
                    <w:r>
                      <w:rPr>
                        <w:rFonts w:cs="Calibri"/>
                        <w:sz w:val="20"/>
                        <w:szCs w:val="20"/>
                      </w:rPr>
                      <w:t xml:space="preserve">RUBRICA:______FOLHA:______ </w:t>
                    </w:r>
                    <w:r>
                      <w:rPr>
                        <w:sz w:val="20"/>
                        <w:szCs w:val="20"/>
                      </w:rPr>
                      <w:t>______</w:t>
                    </w:r>
                  </w:p>
                </w:txbxContent>
              </v:textbox>
            </v:rect>
          </w:pict>
        </mc:Fallback>
      </mc:AlternateContent>
    </w:r>
    <w:r>
      <w:t xml:space="preserve"> </w:t>
    </w:r>
    <w:bookmarkEnd w:id="16"/>
    <w:bookmarkEnd w:id="17"/>
    <w:bookmarkEnd w:id="18"/>
    <w:bookmarkEnd w:id="19"/>
    <w:r w:rsidR="00D927D6">
      <w:rPr>
        <w:noProof/>
      </w:rPr>
      <w:drawing>
        <wp:inline distT="0" distB="0" distL="0" distR="0" wp14:anchorId="04F019C0" wp14:editId="0A188A1C">
          <wp:extent cx="2416810" cy="88392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74B7CD5" w14:textId="77777777" w:rsidR="00D927D6" w:rsidRPr="0050458D" w:rsidRDefault="00D927D6" w:rsidP="004929A6">
    <w:pPr>
      <w:pStyle w:val="Cabealho"/>
      <w:ind w:left="142" w:hanging="568"/>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C486CCC8"/>
    <w:multiLevelType w:val="singleLevel"/>
    <w:tmpl w:val="C486CCC8"/>
    <w:lvl w:ilvl="0">
      <w:start w:val="1"/>
      <w:numFmt w:val="lowerLetter"/>
      <w:lvlText w:val="%1)"/>
      <w:lvlJc w:val="left"/>
      <w:pPr>
        <w:tabs>
          <w:tab w:val="left" w:pos="425"/>
        </w:tabs>
        <w:ind w:left="425" w:hanging="425"/>
      </w:pPr>
      <w:rPr>
        <w:rFonts w:hint="default"/>
      </w:rPr>
    </w:lvl>
  </w:abstractNum>
  <w:abstractNum w:abstractNumId="2"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b/>
        <w:bCs/>
        <w:sz w:val="28"/>
        <w:szCs w:val="28"/>
      </w:rPr>
    </w:lvl>
    <w:lvl w:ilvl="1">
      <w:start w:val="1"/>
      <w:numFmt w:val="decimal"/>
      <w:suff w:val="space"/>
      <w:lvlText w:val="%1.%2"/>
      <w:lvlJc w:val="left"/>
      <w:pPr>
        <w:ind w:left="0" w:firstLine="0"/>
      </w:pPr>
      <w:rPr>
        <w:rFonts w:hint="default"/>
        <w:b/>
        <w:bCs/>
        <w:color w:val="auto"/>
        <w:sz w:val="24"/>
        <w:szCs w:val="24"/>
      </w:rPr>
    </w:lvl>
    <w:lvl w:ilvl="2">
      <w:start w:val="1"/>
      <w:numFmt w:val="decimal"/>
      <w:suff w:val="space"/>
      <w:lvlText w:val="%1.%2.%3"/>
      <w:lvlJc w:val="left"/>
      <w:pPr>
        <w:ind w:left="0" w:firstLine="0"/>
      </w:pPr>
      <w:rPr>
        <w:rFonts w:hint="default"/>
        <w:b/>
        <w:bCs/>
        <w:i w:val="0"/>
        <w:iCs w:val="0"/>
        <w:sz w:val="22"/>
        <w:szCs w:val="22"/>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5494E65"/>
    <w:multiLevelType w:val="multilevel"/>
    <w:tmpl w:val="75494E65"/>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3"/>
  </w:num>
  <w:num w:numId="4">
    <w:abstractNumId w:val="7"/>
  </w:num>
  <w:num w:numId="5">
    <w:abstractNumId w:val="4"/>
  </w:num>
  <w:num w:numId="6">
    <w:abstractNumId w:val="11"/>
  </w:num>
  <w:num w:numId="7">
    <w:abstractNumId w:val="5"/>
  </w:num>
  <w:num w:numId="8">
    <w:abstractNumId w:val="9"/>
  </w:num>
  <w:num w:numId="9">
    <w:abstractNumId w:val="8"/>
  </w:num>
  <w:num w:numId="10">
    <w:abstractNumId w:val="2"/>
  </w:num>
  <w:num w:numId="11">
    <w:abstractNumId w:val="1"/>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24E8"/>
    <w:rsid w:val="00403108"/>
    <w:rsid w:val="0041063D"/>
    <w:rsid w:val="00410E3A"/>
    <w:rsid w:val="00413F35"/>
    <w:rsid w:val="00415976"/>
    <w:rsid w:val="00415C1A"/>
    <w:rsid w:val="00417717"/>
    <w:rsid w:val="00430C16"/>
    <w:rsid w:val="0043121B"/>
    <w:rsid w:val="00436587"/>
    <w:rsid w:val="00442048"/>
    <w:rsid w:val="0044502E"/>
    <w:rsid w:val="004549BE"/>
    <w:rsid w:val="00455D31"/>
    <w:rsid w:val="00461F93"/>
    <w:rsid w:val="00466044"/>
    <w:rsid w:val="00466BF6"/>
    <w:rsid w:val="004735E6"/>
    <w:rsid w:val="0047582C"/>
    <w:rsid w:val="00475936"/>
    <w:rsid w:val="0048007A"/>
    <w:rsid w:val="004929A6"/>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571AE"/>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07492"/>
    <w:rsid w:val="00A111BA"/>
    <w:rsid w:val="00A14FF7"/>
    <w:rsid w:val="00A216BA"/>
    <w:rsid w:val="00A229E2"/>
    <w:rsid w:val="00A23D36"/>
    <w:rsid w:val="00A26E98"/>
    <w:rsid w:val="00A27B94"/>
    <w:rsid w:val="00A327A0"/>
    <w:rsid w:val="00A545EB"/>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4244"/>
    <w:rsid w:val="00B25D0B"/>
    <w:rsid w:val="00B26F60"/>
    <w:rsid w:val="00B27105"/>
    <w:rsid w:val="00B30CA0"/>
    <w:rsid w:val="00B34CEA"/>
    <w:rsid w:val="00B35782"/>
    <w:rsid w:val="00B367AB"/>
    <w:rsid w:val="00B37399"/>
    <w:rsid w:val="00B375EA"/>
    <w:rsid w:val="00B42A6A"/>
    <w:rsid w:val="00B51D0D"/>
    <w:rsid w:val="00B52F88"/>
    <w:rsid w:val="00B67232"/>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76FC1"/>
    <w:rsid w:val="00C80C6C"/>
    <w:rsid w:val="00C81401"/>
    <w:rsid w:val="00C81B18"/>
    <w:rsid w:val="00C876B7"/>
    <w:rsid w:val="00C91A0C"/>
    <w:rsid w:val="00C92ED3"/>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561A8"/>
    <w:rsid w:val="00D653DF"/>
    <w:rsid w:val="00D7231B"/>
    <w:rsid w:val="00D7299B"/>
    <w:rsid w:val="00D73E45"/>
    <w:rsid w:val="00D80C21"/>
    <w:rsid w:val="00D90EA5"/>
    <w:rsid w:val="00D9158F"/>
    <w:rsid w:val="00D927D6"/>
    <w:rsid w:val="00D97BF6"/>
    <w:rsid w:val="00DA0D02"/>
    <w:rsid w:val="00DA57AB"/>
    <w:rsid w:val="00DA7D88"/>
    <w:rsid w:val="00DB1B33"/>
    <w:rsid w:val="00DB4906"/>
    <w:rsid w:val="00DB6EA1"/>
    <w:rsid w:val="00DC58C6"/>
    <w:rsid w:val="00DC6CC7"/>
    <w:rsid w:val="00DC6FCA"/>
    <w:rsid w:val="00DD641A"/>
    <w:rsid w:val="00E12775"/>
    <w:rsid w:val="00E151D6"/>
    <w:rsid w:val="00E23693"/>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5437</Words>
  <Characters>29365</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55</cp:revision>
  <cp:lastPrinted>2023-08-22T17:19:00Z</cp:lastPrinted>
  <dcterms:created xsi:type="dcterms:W3CDTF">2023-08-18T18:10:00Z</dcterms:created>
  <dcterms:modified xsi:type="dcterms:W3CDTF">2025-02-14T14:28:00Z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